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45A03" w14:textId="77777777" w:rsidR="00B023AA" w:rsidRPr="00B023AA" w:rsidRDefault="00B023AA" w:rsidP="00B023AA">
      <w:pPr>
        <w:pBdr>
          <w:bottom w:val="single" w:sz="8" w:space="4" w:color="4F81BD"/>
        </w:pBdr>
        <w:spacing w:after="300" w:line="240" w:lineRule="auto"/>
        <w:contextualSpacing/>
        <w:rPr>
          <w:rFonts w:ascii="Calibri" w:eastAsia="MS Gothic" w:hAnsi="Calibri" w:cs="Times New Roman"/>
          <w:color w:val="17365D"/>
          <w:spacing w:val="5"/>
          <w:kern w:val="28"/>
          <w:sz w:val="52"/>
          <w:szCs w:val="52"/>
          <w14:ligatures w14:val="none"/>
        </w:rPr>
      </w:pPr>
      <w:r w:rsidRPr="00B023AA">
        <w:rPr>
          <w:rFonts w:ascii="Calibri" w:eastAsia="MS Gothic" w:hAnsi="Calibri" w:cs="Times New Roman"/>
          <w:color w:val="17365D"/>
          <w:spacing w:val="5"/>
          <w:kern w:val="28"/>
          <w:sz w:val="52"/>
          <w:szCs w:val="52"/>
          <w14:ligatures w14:val="none"/>
        </w:rPr>
        <w:t>Amelia ICS Blocker Plugin – User Manual</w:t>
      </w:r>
    </w:p>
    <w:p w14:paraId="2C1DFA96" w14:textId="77777777" w:rsidR="00B023AA" w:rsidRPr="00B023AA" w:rsidRDefault="00B023AA" w:rsidP="00B023AA">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B023AA">
        <w:rPr>
          <w:rFonts w:ascii="Calibri" w:eastAsia="MS Gothic" w:hAnsi="Calibri" w:cs="Times New Roman"/>
          <w:b/>
          <w:bCs/>
          <w:color w:val="365F91"/>
          <w:kern w:val="0"/>
          <w:sz w:val="28"/>
          <w:szCs w:val="28"/>
          <w14:ligatures w14:val="none"/>
        </w:rPr>
        <w:t>1. Introduction</w:t>
      </w:r>
    </w:p>
    <w:p w14:paraId="152309A3"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The Amelia ICS Blocker Plugin allows WordPress site administrators and Amelia Booking system providers to block off time slots using ICS (iCalendar) files. This prevents customers from booking appointments during periods when a provider is already busy, as determined by their personal (non-cloud-based) calendar.</w:t>
      </w:r>
    </w:p>
    <w:p w14:paraId="7C356E14" w14:textId="77777777" w:rsidR="00B023AA" w:rsidRPr="00B023AA" w:rsidRDefault="00B023AA" w:rsidP="00B023AA">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B023AA">
        <w:rPr>
          <w:rFonts w:ascii="Calibri" w:eastAsia="MS Gothic" w:hAnsi="Calibri" w:cs="Times New Roman"/>
          <w:b/>
          <w:bCs/>
          <w:color w:val="365F91"/>
          <w:kern w:val="0"/>
          <w:sz w:val="28"/>
          <w:szCs w:val="28"/>
          <w14:ligatures w14:val="none"/>
        </w:rPr>
        <w:t>2. Setup</w:t>
      </w:r>
    </w:p>
    <w:p w14:paraId="28CCFA7D"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To begin using the plugin:</w:t>
      </w:r>
    </w:p>
    <w:p w14:paraId="5AB265C0" w14:textId="77777777" w:rsidR="00B023AA" w:rsidRPr="00B023AA" w:rsidRDefault="00B023AA" w:rsidP="00B023AA">
      <w:pPr>
        <w:tabs>
          <w:tab w:val="num" w:pos="360"/>
        </w:tabs>
        <w:spacing w:after="200" w:line="276" w:lineRule="auto"/>
        <w:ind w:left="360" w:hanging="360"/>
        <w:contextualSpacing/>
        <w:rPr>
          <w:rFonts w:ascii="Cambria" w:eastAsia="MS Mincho" w:hAnsi="Cambria" w:cs="Times New Roman"/>
          <w:kern w:val="0"/>
          <w14:ligatures w14:val="none"/>
        </w:rPr>
      </w:pPr>
      <w:r w:rsidRPr="00B023AA">
        <w:rPr>
          <w:rFonts w:ascii="Cambria" w:eastAsia="MS Mincho" w:hAnsi="Cambria" w:cs="Times New Roman"/>
          <w:kern w:val="0"/>
          <w14:ligatures w14:val="none"/>
        </w:rPr>
        <w:t>1. Ensure the Amelia Booking Plugin is installed and configured.</w:t>
      </w:r>
    </w:p>
    <w:p w14:paraId="08F65683" w14:textId="77777777" w:rsidR="00B023AA" w:rsidRPr="00B023AA" w:rsidRDefault="00B023AA" w:rsidP="00B023AA">
      <w:pPr>
        <w:tabs>
          <w:tab w:val="num" w:pos="360"/>
        </w:tabs>
        <w:spacing w:after="200" w:line="276" w:lineRule="auto"/>
        <w:ind w:left="360" w:hanging="360"/>
        <w:contextualSpacing/>
        <w:rPr>
          <w:rFonts w:ascii="Cambria" w:eastAsia="MS Mincho" w:hAnsi="Cambria" w:cs="Times New Roman"/>
          <w:kern w:val="0"/>
          <w14:ligatures w14:val="none"/>
        </w:rPr>
      </w:pPr>
      <w:r w:rsidRPr="00B023AA">
        <w:rPr>
          <w:rFonts w:ascii="Cambria" w:eastAsia="MS Mincho" w:hAnsi="Cambria" w:cs="Times New Roman"/>
          <w:kern w:val="0"/>
          <w14:ligatures w14:val="none"/>
        </w:rPr>
        <w:t>2. Install and activate the Amelia ICS Blocker Plugin.</w:t>
      </w:r>
    </w:p>
    <w:p w14:paraId="6D61984F" w14:textId="77777777" w:rsidR="00B023AA" w:rsidRPr="00B023AA" w:rsidRDefault="00B023AA" w:rsidP="00B023AA">
      <w:pPr>
        <w:tabs>
          <w:tab w:val="num" w:pos="360"/>
        </w:tabs>
        <w:spacing w:after="200" w:line="276" w:lineRule="auto"/>
        <w:ind w:left="360" w:hanging="360"/>
        <w:contextualSpacing/>
        <w:rPr>
          <w:rFonts w:ascii="Cambria" w:eastAsia="MS Mincho" w:hAnsi="Cambria" w:cs="Times New Roman"/>
          <w:kern w:val="0"/>
          <w14:ligatures w14:val="none"/>
        </w:rPr>
      </w:pPr>
      <w:r w:rsidRPr="00B023AA">
        <w:rPr>
          <w:rFonts w:ascii="Cambria" w:eastAsia="MS Mincho" w:hAnsi="Cambria" w:cs="Times New Roman"/>
          <w:kern w:val="0"/>
          <w14:ligatures w14:val="none"/>
        </w:rPr>
        <w:t>3. Ensure at least one provider exists within Amelia.</w:t>
      </w:r>
    </w:p>
    <w:p w14:paraId="541CFBCB" w14:textId="77777777" w:rsidR="00B023AA" w:rsidRPr="00B023AA" w:rsidRDefault="00B023AA" w:rsidP="00B023AA">
      <w:pPr>
        <w:tabs>
          <w:tab w:val="num" w:pos="360"/>
        </w:tabs>
        <w:spacing w:after="200" w:line="276" w:lineRule="auto"/>
        <w:ind w:left="360" w:hanging="360"/>
        <w:contextualSpacing/>
        <w:rPr>
          <w:rFonts w:ascii="Cambria" w:eastAsia="MS Mincho" w:hAnsi="Cambria" w:cs="Times New Roman"/>
          <w:kern w:val="0"/>
          <w14:ligatures w14:val="none"/>
        </w:rPr>
      </w:pPr>
      <w:r w:rsidRPr="00B023AA">
        <w:rPr>
          <w:rFonts w:ascii="Cambria" w:eastAsia="MS Mincho" w:hAnsi="Cambria" w:cs="Times New Roman"/>
          <w:kern w:val="0"/>
          <w14:ligatures w14:val="none"/>
        </w:rPr>
        <w:t>4. Optionally install the included sample VBA script in Outlook to export and upload ICS files automatically.</w:t>
      </w:r>
    </w:p>
    <w:p w14:paraId="76F48691" w14:textId="77777777" w:rsidR="00B023AA" w:rsidRPr="00B023AA" w:rsidRDefault="00B023AA" w:rsidP="00B023AA">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B023AA">
        <w:rPr>
          <w:rFonts w:ascii="Calibri" w:eastAsia="MS Gothic" w:hAnsi="Calibri" w:cs="Times New Roman"/>
          <w:b/>
          <w:bCs/>
          <w:color w:val="365F91"/>
          <w:kern w:val="0"/>
          <w:sz w:val="28"/>
          <w:szCs w:val="28"/>
          <w14:ligatures w14:val="none"/>
        </w:rPr>
        <w:t>3. Accessing the Plugin</w:t>
      </w:r>
    </w:p>
    <w:p w14:paraId="1DDB5121"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After activation, access the plugin from the WordPress admin dashboard under 'Amelia ICS Blocker'. The interface is only available to users with administrator privileges.</w:t>
      </w:r>
    </w:p>
    <w:p w14:paraId="01C41A8F" w14:textId="77777777" w:rsidR="00B023AA" w:rsidRPr="00B023AA" w:rsidRDefault="00B023AA" w:rsidP="00B023AA">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B023AA">
        <w:rPr>
          <w:rFonts w:ascii="Calibri" w:eastAsia="MS Gothic" w:hAnsi="Calibri" w:cs="Times New Roman"/>
          <w:b/>
          <w:bCs/>
          <w:color w:val="365F91"/>
          <w:kern w:val="0"/>
          <w:sz w:val="28"/>
          <w:szCs w:val="28"/>
          <w14:ligatures w14:val="none"/>
        </w:rPr>
        <w:t>4. Using the UI</w:t>
      </w:r>
    </w:p>
    <w:p w14:paraId="5B3BA2EF"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The UI is dynamic and consists of the following elements:</w:t>
      </w:r>
    </w:p>
    <w:p w14:paraId="19E69381"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Provider Dropdown: Select an active provider from the Amelia system.</w:t>
      </w:r>
    </w:p>
    <w:p w14:paraId="3DB57CD4"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ICS File Selector: Shows previously uploaded ICS files for this provider.</w:t>
      </w:r>
    </w:p>
    <w:p w14:paraId="768296FF"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Busy Only Toggle: Whether to block only events marked as busy (OPAQUE) or all events.</w:t>
      </w:r>
    </w:p>
    <w:p w14:paraId="0AE7A781"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Days Out: Optional field to limit how many days into the future events will be processed.</w:t>
      </w:r>
    </w:p>
    <w:p w14:paraId="7411C4DF"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Save Settings: Stores the selected file and options for this provider.</w:t>
      </w:r>
    </w:p>
    <w:p w14:paraId="68BA8403"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Verify: Validates the selected ICS file before processing.</w:t>
      </w:r>
    </w:p>
    <w:p w14:paraId="56676199"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Process: Processes the selected ICS file into Amelia. Triggers a confirmation popup with the option to clear future blocks.</w:t>
      </w:r>
    </w:p>
    <w:p w14:paraId="571803BF"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Upload: Upload a new ICS file. After upload, verify and processing may be triggered automatically.</w:t>
      </w:r>
    </w:p>
    <w:p w14:paraId="4F549612"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Revert: Reverts changes to the last saved provider settings.</w:t>
      </w:r>
    </w:p>
    <w:p w14:paraId="7B0E08A7"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lastRenderedPageBreak/>
        <w:t>Note: The 'Clear Future Blocks' option appears in a confirmation dialog after pressing 'Process'. It is not a saved setting.</w:t>
      </w:r>
    </w:p>
    <w:p w14:paraId="646EDFE2" w14:textId="77777777" w:rsidR="00B023AA" w:rsidRPr="00B023AA" w:rsidRDefault="00B023AA" w:rsidP="00B023AA">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B023AA">
        <w:rPr>
          <w:rFonts w:ascii="Calibri" w:eastAsia="MS Gothic" w:hAnsi="Calibri" w:cs="Times New Roman"/>
          <w:b/>
          <w:bCs/>
          <w:color w:val="365F91"/>
          <w:kern w:val="0"/>
          <w:sz w:val="28"/>
          <w:szCs w:val="28"/>
          <w14:ligatures w14:val="none"/>
        </w:rPr>
        <w:t>5. Automating with Outlook</w:t>
      </w:r>
    </w:p>
    <w:p w14:paraId="0C8FCCA1"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A sample VBA macro is included that allows exporting busy appointments from Outlook for the next 90 days. It also uploads and processes the ICS file automatically using CURL every time the calendar is modified. Refer to the included 'Outlook VBA Macros' document.</w:t>
      </w:r>
    </w:p>
    <w:p w14:paraId="03A9E2B5" w14:textId="77777777" w:rsidR="00B023AA" w:rsidRPr="00B023AA" w:rsidRDefault="00B023AA" w:rsidP="00B023AA">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B023AA">
        <w:rPr>
          <w:rFonts w:ascii="Calibri" w:eastAsia="MS Gothic" w:hAnsi="Calibri" w:cs="Times New Roman"/>
          <w:b/>
          <w:bCs/>
          <w:color w:val="365F91"/>
          <w:kern w:val="0"/>
          <w:sz w:val="28"/>
          <w:szCs w:val="28"/>
          <w14:ligatures w14:val="none"/>
        </w:rPr>
        <w:t>6. Saving &amp; Reverting Settings</w:t>
      </w:r>
    </w:p>
    <w:p w14:paraId="276ADF4B"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You can persist provider-specific preferences including:</w:t>
      </w:r>
    </w:p>
    <w:p w14:paraId="4A051A29"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Last selected ICS file</w:t>
      </w:r>
    </w:p>
    <w:p w14:paraId="40C96F89"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Busy only flag</w:t>
      </w:r>
    </w:p>
    <w:p w14:paraId="0AC8B00B"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 Days out limit</w:t>
      </w:r>
    </w:p>
    <w:p w14:paraId="50163E3B"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These are restored when reselecting the provider or upon login.</w:t>
      </w:r>
    </w:p>
    <w:p w14:paraId="005E4C08" w14:textId="77777777" w:rsidR="00B023AA" w:rsidRPr="00B023AA" w:rsidRDefault="00B023AA" w:rsidP="00B023AA">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B023AA">
        <w:rPr>
          <w:rFonts w:ascii="Calibri" w:eastAsia="MS Gothic" w:hAnsi="Calibri" w:cs="Times New Roman"/>
          <w:b/>
          <w:bCs/>
          <w:color w:val="365F91"/>
          <w:kern w:val="0"/>
          <w:sz w:val="28"/>
          <w:szCs w:val="28"/>
          <w14:ligatures w14:val="none"/>
        </w:rPr>
        <w:t>7. Logs and Troubleshooting</w:t>
      </w:r>
    </w:p>
    <w:p w14:paraId="3C978647"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Processing results, warnings, and errors are shown in the plugin interface and recorded in logs accessible from the 'Logs' tab. This includes information about skipped events, parsing issues, and inserted or merged appointments.</w:t>
      </w:r>
    </w:p>
    <w:p w14:paraId="1C07348D" w14:textId="77777777" w:rsidR="00B023AA" w:rsidRPr="00B023AA" w:rsidRDefault="00B023AA" w:rsidP="00B023AA">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B023AA">
        <w:rPr>
          <w:rFonts w:ascii="Calibri" w:eastAsia="MS Gothic" w:hAnsi="Calibri" w:cs="Times New Roman"/>
          <w:b/>
          <w:bCs/>
          <w:color w:val="365F91"/>
          <w:kern w:val="0"/>
          <w:sz w:val="28"/>
          <w:szCs w:val="28"/>
          <w14:ligatures w14:val="none"/>
        </w:rPr>
        <w:t>8. Future Enhancements</w:t>
      </w:r>
    </w:p>
    <w:p w14:paraId="5B77D685"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No future enhancements are planned. The plugin is intended to offer full functionality as-is.</w:t>
      </w:r>
    </w:p>
    <w:p w14:paraId="1F6D893B"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Times New Roman" w:eastAsia="MS Mincho" w:hAnsi="Times New Roman" w:cs="Times New Roman"/>
          <w:kern w:val="0"/>
          <w:sz w:val="24"/>
          <w:szCs w:val="24"/>
          <w14:ligatures w14:val="none"/>
        </w:rPr>
        <w:br w:type="page"/>
      </w:r>
    </w:p>
    <w:p w14:paraId="483658E7" w14:textId="77777777" w:rsidR="00B023AA" w:rsidRPr="00B023AA" w:rsidRDefault="00B023AA" w:rsidP="00B023AA">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B023AA">
        <w:rPr>
          <w:rFonts w:ascii="Calibri" w:eastAsia="MS Gothic" w:hAnsi="Calibri" w:cs="Times New Roman"/>
          <w:b/>
          <w:bCs/>
          <w:color w:val="365F91"/>
          <w:kern w:val="0"/>
          <w:sz w:val="28"/>
          <w:szCs w:val="28"/>
          <w14:ligatures w14:val="none"/>
        </w:rPr>
        <w:lastRenderedPageBreak/>
        <w:t>Appendix: API Reference</w:t>
      </w:r>
    </w:p>
    <w:p w14:paraId="67FD5FCC" w14:textId="77777777" w:rsidR="00B023AA" w:rsidRPr="00B023AA" w:rsidRDefault="00B023AA" w:rsidP="00B023AA">
      <w:pPr>
        <w:spacing w:after="200" w:line="276" w:lineRule="auto"/>
        <w:rPr>
          <w:rFonts w:ascii="Cambria" w:eastAsia="MS Mincho" w:hAnsi="Cambria" w:cs="Times New Roman"/>
          <w:kern w:val="0"/>
          <w14:ligatures w14:val="none"/>
        </w:rPr>
      </w:pPr>
      <w:r w:rsidRPr="00B023AA">
        <w:rPr>
          <w:rFonts w:ascii="Cambria" w:eastAsia="MS Mincho" w:hAnsi="Cambria" w:cs="Times New Roman"/>
          <w:kern w:val="0"/>
          <w14:ligatures w14:val="none"/>
        </w:rPr>
        <w:t>The following REST API endpoints are exposed by the Amelia ICS Blocker Plugin. They are typically called by the plugin’s UI, but may also be invoked programmatically for automation or advanced integrations.</w:t>
      </w:r>
    </w:p>
    <w:tbl>
      <w:tblPr>
        <w:tblStyle w:val="TableGrid"/>
        <w:tblW w:w="0" w:type="auto"/>
        <w:tblInd w:w="0" w:type="dxa"/>
        <w:tblLook w:val="04A0" w:firstRow="1" w:lastRow="0" w:firstColumn="1" w:lastColumn="0" w:noHBand="0" w:noVBand="1"/>
      </w:tblPr>
      <w:tblGrid>
        <w:gridCol w:w="2004"/>
        <w:gridCol w:w="1711"/>
        <w:gridCol w:w="1725"/>
        <w:gridCol w:w="2189"/>
        <w:gridCol w:w="1721"/>
      </w:tblGrid>
      <w:tr w:rsidR="00B023AA" w:rsidRPr="00B023AA" w14:paraId="01592998" w14:textId="77777777" w:rsidTr="00B023AA">
        <w:tc>
          <w:tcPr>
            <w:tcW w:w="1728" w:type="dxa"/>
            <w:tcBorders>
              <w:top w:val="single" w:sz="4" w:space="0" w:color="auto"/>
              <w:left w:val="single" w:sz="4" w:space="0" w:color="auto"/>
              <w:bottom w:val="single" w:sz="4" w:space="0" w:color="auto"/>
              <w:right w:val="single" w:sz="4" w:space="0" w:color="auto"/>
            </w:tcBorders>
            <w:hideMark/>
          </w:tcPr>
          <w:p w14:paraId="7E50F2B1" w14:textId="77777777" w:rsidR="00B023AA" w:rsidRPr="00B023AA" w:rsidRDefault="00B023AA" w:rsidP="00B023AA">
            <w:r w:rsidRPr="00B023AA">
              <w:t>Endpoint</w:t>
            </w:r>
          </w:p>
        </w:tc>
        <w:tc>
          <w:tcPr>
            <w:tcW w:w="1728" w:type="dxa"/>
            <w:tcBorders>
              <w:top w:val="single" w:sz="4" w:space="0" w:color="auto"/>
              <w:left w:val="single" w:sz="4" w:space="0" w:color="auto"/>
              <w:bottom w:val="single" w:sz="4" w:space="0" w:color="auto"/>
              <w:right w:val="single" w:sz="4" w:space="0" w:color="auto"/>
            </w:tcBorders>
            <w:hideMark/>
          </w:tcPr>
          <w:p w14:paraId="027B6B7D" w14:textId="77777777" w:rsidR="00B023AA" w:rsidRPr="00B023AA" w:rsidRDefault="00B023AA" w:rsidP="00B023AA">
            <w:r w:rsidRPr="00B023AA">
              <w:t>Method</w:t>
            </w:r>
          </w:p>
        </w:tc>
        <w:tc>
          <w:tcPr>
            <w:tcW w:w="1728" w:type="dxa"/>
            <w:tcBorders>
              <w:top w:val="single" w:sz="4" w:space="0" w:color="auto"/>
              <w:left w:val="single" w:sz="4" w:space="0" w:color="auto"/>
              <w:bottom w:val="single" w:sz="4" w:space="0" w:color="auto"/>
              <w:right w:val="single" w:sz="4" w:space="0" w:color="auto"/>
            </w:tcBorders>
            <w:hideMark/>
          </w:tcPr>
          <w:p w14:paraId="53D73F33" w14:textId="77777777" w:rsidR="00B023AA" w:rsidRPr="00B023AA" w:rsidRDefault="00B023AA" w:rsidP="00B023AA">
            <w:r w:rsidRPr="00B023AA">
              <w:t>Description</w:t>
            </w:r>
          </w:p>
        </w:tc>
        <w:tc>
          <w:tcPr>
            <w:tcW w:w="1728" w:type="dxa"/>
            <w:tcBorders>
              <w:top w:val="single" w:sz="4" w:space="0" w:color="auto"/>
              <w:left w:val="single" w:sz="4" w:space="0" w:color="auto"/>
              <w:bottom w:val="single" w:sz="4" w:space="0" w:color="auto"/>
              <w:right w:val="single" w:sz="4" w:space="0" w:color="auto"/>
            </w:tcBorders>
            <w:hideMark/>
          </w:tcPr>
          <w:p w14:paraId="03A0687E" w14:textId="77777777" w:rsidR="00B023AA" w:rsidRPr="00B023AA" w:rsidRDefault="00B023AA" w:rsidP="00B023AA">
            <w:r w:rsidRPr="00B023AA">
              <w:t>Parameters</w:t>
            </w:r>
          </w:p>
        </w:tc>
        <w:tc>
          <w:tcPr>
            <w:tcW w:w="1728" w:type="dxa"/>
            <w:tcBorders>
              <w:top w:val="single" w:sz="4" w:space="0" w:color="auto"/>
              <w:left w:val="single" w:sz="4" w:space="0" w:color="auto"/>
              <w:bottom w:val="single" w:sz="4" w:space="0" w:color="auto"/>
              <w:right w:val="single" w:sz="4" w:space="0" w:color="auto"/>
            </w:tcBorders>
            <w:hideMark/>
          </w:tcPr>
          <w:p w14:paraId="3BD54F8A" w14:textId="77777777" w:rsidR="00B023AA" w:rsidRPr="00B023AA" w:rsidRDefault="00B023AA" w:rsidP="00B023AA">
            <w:r w:rsidRPr="00B023AA">
              <w:t>Returns</w:t>
            </w:r>
          </w:p>
        </w:tc>
      </w:tr>
      <w:tr w:rsidR="00B023AA" w:rsidRPr="00B023AA" w14:paraId="4A9EE5C0" w14:textId="77777777" w:rsidTr="00B023AA">
        <w:tc>
          <w:tcPr>
            <w:tcW w:w="1728" w:type="dxa"/>
            <w:tcBorders>
              <w:top w:val="single" w:sz="4" w:space="0" w:color="auto"/>
              <w:left w:val="single" w:sz="4" w:space="0" w:color="auto"/>
              <w:bottom w:val="single" w:sz="4" w:space="0" w:color="auto"/>
              <w:right w:val="single" w:sz="4" w:space="0" w:color="auto"/>
            </w:tcBorders>
            <w:hideMark/>
          </w:tcPr>
          <w:p w14:paraId="549D5222" w14:textId="77777777" w:rsidR="00B023AA" w:rsidRPr="00B023AA" w:rsidRDefault="00B023AA" w:rsidP="00B023AA">
            <w:r w:rsidRPr="00B023AA">
              <w:t>/</w:t>
            </w:r>
            <w:proofErr w:type="spellStart"/>
            <w:r w:rsidRPr="00B023AA">
              <w:t>aicsb</w:t>
            </w:r>
            <w:proofErr w:type="spellEnd"/>
            <w:r w:rsidRPr="00B023AA">
              <w:t>/v1/save-settings</w:t>
            </w:r>
          </w:p>
        </w:tc>
        <w:tc>
          <w:tcPr>
            <w:tcW w:w="1728" w:type="dxa"/>
            <w:tcBorders>
              <w:top w:val="single" w:sz="4" w:space="0" w:color="auto"/>
              <w:left w:val="single" w:sz="4" w:space="0" w:color="auto"/>
              <w:bottom w:val="single" w:sz="4" w:space="0" w:color="auto"/>
              <w:right w:val="single" w:sz="4" w:space="0" w:color="auto"/>
            </w:tcBorders>
            <w:hideMark/>
          </w:tcPr>
          <w:p w14:paraId="3264B8BF" w14:textId="77777777" w:rsidR="00B023AA" w:rsidRPr="00B023AA" w:rsidRDefault="00B023AA" w:rsidP="00B023AA">
            <w:r w:rsidRPr="00B023AA">
              <w:t>POST</w:t>
            </w:r>
          </w:p>
        </w:tc>
        <w:tc>
          <w:tcPr>
            <w:tcW w:w="1728" w:type="dxa"/>
            <w:tcBorders>
              <w:top w:val="single" w:sz="4" w:space="0" w:color="auto"/>
              <w:left w:val="single" w:sz="4" w:space="0" w:color="auto"/>
              <w:bottom w:val="single" w:sz="4" w:space="0" w:color="auto"/>
              <w:right w:val="single" w:sz="4" w:space="0" w:color="auto"/>
            </w:tcBorders>
            <w:hideMark/>
          </w:tcPr>
          <w:p w14:paraId="5D1046E2" w14:textId="77777777" w:rsidR="00B023AA" w:rsidRPr="00B023AA" w:rsidRDefault="00B023AA" w:rsidP="00B023AA">
            <w:r w:rsidRPr="00B023AA">
              <w:t>Saves provider-specific settings.</w:t>
            </w:r>
          </w:p>
        </w:tc>
        <w:tc>
          <w:tcPr>
            <w:tcW w:w="1728" w:type="dxa"/>
            <w:tcBorders>
              <w:top w:val="single" w:sz="4" w:space="0" w:color="auto"/>
              <w:left w:val="single" w:sz="4" w:space="0" w:color="auto"/>
              <w:bottom w:val="single" w:sz="4" w:space="0" w:color="auto"/>
              <w:right w:val="single" w:sz="4" w:space="0" w:color="auto"/>
            </w:tcBorders>
            <w:hideMark/>
          </w:tcPr>
          <w:p w14:paraId="547C4197" w14:textId="77777777" w:rsidR="00B023AA" w:rsidRPr="00B023AA" w:rsidRDefault="00B023AA" w:rsidP="00B023AA">
            <w:proofErr w:type="spellStart"/>
            <w:r w:rsidRPr="00B023AA">
              <w:t>provider_id</w:t>
            </w:r>
            <w:proofErr w:type="spellEnd"/>
            <w:r w:rsidRPr="00B023AA">
              <w:t xml:space="preserve"> (int), </w:t>
            </w:r>
            <w:proofErr w:type="spellStart"/>
            <w:r w:rsidRPr="00B023AA">
              <w:t>ics_file</w:t>
            </w:r>
            <w:proofErr w:type="spellEnd"/>
            <w:r w:rsidRPr="00B023AA">
              <w:t xml:space="preserve"> (string), </w:t>
            </w:r>
            <w:proofErr w:type="spellStart"/>
            <w:r w:rsidRPr="00B023AA">
              <w:t>busy_only</w:t>
            </w:r>
            <w:proofErr w:type="spellEnd"/>
            <w:r w:rsidRPr="00B023AA">
              <w:t xml:space="preserve"> (bool), </w:t>
            </w:r>
            <w:proofErr w:type="spellStart"/>
            <w:r w:rsidRPr="00B023AA">
              <w:t>days_out</w:t>
            </w:r>
            <w:proofErr w:type="spellEnd"/>
            <w:r w:rsidRPr="00B023AA">
              <w:t xml:space="preserve"> (int)</w:t>
            </w:r>
          </w:p>
        </w:tc>
        <w:tc>
          <w:tcPr>
            <w:tcW w:w="1728" w:type="dxa"/>
            <w:tcBorders>
              <w:top w:val="single" w:sz="4" w:space="0" w:color="auto"/>
              <w:left w:val="single" w:sz="4" w:space="0" w:color="auto"/>
              <w:bottom w:val="single" w:sz="4" w:space="0" w:color="auto"/>
              <w:right w:val="single" w:sz="4" w:space="0" w:color="auto"/>
            </w:tcBorders>
            <w:hideMark/>
          </w:tcPr>
          <w:p w14:paraId="3DED1080" w14:textId="77777777" w:rsidR="00B023AA" w:rsidRPr="00B023AA" w:rsidRDefault="00B023AA" w:rsidP="00B023AA">
            <w:proofErr w:type="gramStart"/>
            <w:r w:rsidRPr="00B023AA">
              <w:t>{ success</w:t>
            </w:r>
            <w:proofErr w:type="gramEnd"/>
            <w:r w:rsidRPr="00B023AA">
              <w:t>: true }</w:t>
            </w:r>
          </w:p>
        </w:tc>
      </w:tr>
      <w:tr w:rsidR="00B023AA" w:rsidRPr="00B023AA" w14:paraId="4DD23477" w14:textId="77777777" w:rsidTr="00B023AA">
        <w:tc>
          <w:tcPr>
            <w:tcW w:w="1728" w:type="dxa"/>
            <w:tcBorders>
              <w:top w:val="single" w:sz="4" w:space="0" w:color="auto"/>
              <w:left w:val="single" w:sz="4" w:space="0" w:color="auto"/>
              <w:bottom w:val="single" w:sz="4" w:space="0" w:color="auto"/>
              <w:right w:val="single" w:sz="4" w:space="0" w:color="auto"/>
            </w:tcBorders>
            <w:hideMark/>
          </w:tcPr>
          <w:p w14:paraId="4CE0DC21" w14:textId="77777777" w:rsidR="00B023AA" w:rsidRPr="00B023AA" w:rsidRDefault="00B023AA" w:rsidP="00B023AA">
            <w:r w:rsidRPr="00B023AA">
              <w:t>/</w:t>
            </w:r>
            <w:proofErr w:type="spellStart"/>
            <w:r w:rsidRPr="00B023AA">
              <w:t>aicsb</w:t>
            </w:r>
            <w:proofErr w:type="spellEnd"/>
            <w:r w:rsidRPr="00B023AA">
              <w:t>/v1/process</w:t>
            </w:r>
          </w:p>
        </w:tc>
        <w:tc>
          <w:tcPr>
            <w:tcW w:w="1728" w:type="dxa"/>
            <w:tcBorders>
              <w:top w:val="single" w:sz="4" w:space="0" w:color="auto"/>
              <w:left w:val="single" w:sz="4" w:space="0" w:color="auto"/>
              <w:bottom w:val="single" w:sz="4" w:space="0" w:color="auto"/>
              <w:right w:val="single" w:sz="4" w:space="0" w:color="auto"/>
            </w:tcBorders>
            <w:hideMark/>
          </w:tcPr>
          <w:p w14:paraId="6969AE9C" w14:textId="77777777" w:rsidR="00B023AA" w:rsidRPr="00B023AA" w:rsidRDefault="00B023AA" w:rsidP="00B023AA">
            <w:r w:rsidRPr="00B023AA">
              <w:t>POST</w:t>
            </w:r>
          </w:p>
        </w:tc>
        <w:tc>
          <w:tcPr>
            <w:tcW w:w="1728" w:type="dxa"/>
            <w:tcBorders>
              <w:top w:val="single" w:sz="4" w:space="0" w:color="auto"/>
              <w:left w:val="single" w:sz="4" w:space="0" w:color="auto"/>
              <w:bottom w:val="single" w:sz="4" w:space="0" w:color="auto"/>
              <w:right w:val="single" w:sz="4" w:space="0" w:color="auto"/>
            </w:tcBorders>
            <w:hideMark/>
          </w:tcPr>
          <w:p w14:paraId="165C8199" w14:textId="77777777" w:rsidR="00B023AA" w:rsidRPr="00B023AA" w:rsidRDefault="00B023AA" w:rsidP="00B023AA">
            <w:r w:rsidRPr="00B023AA">
              <w:t>Processes ICS file into Amelia.</w:t>
            </w:r>
          </w:p>
        </w:tc>
        <w:tc>
          <w:tcPr>
            <w:tcW w:w="1728" w:type="dxa"/>
            <w:tcBorders>
              <w:top w:val="single" w:sz="4" w:space="0" w:color="auto"/>
              <w:left w:val="single" w:sz="4" w:space="0" w:color="auto"/>
              <w:bottom w:val="single" w:sz="4" w:space="0" w:color="auto"/>
              <w:right w:val="single" w:sz="4" w:space="0" w:color="auto"/>
            </w:tcBorders>
            <w:hideMark/>
          </w:tcPr>
          <w:p w14:paraId="75E485C6" w14:textId="77777777" w:rsidR="00B023AA" w:rsidRPr="00B023AA" w:rsidRDefault="00B023AA" w:rsidP="00B023AA">
            <w:proofErr w:type="spellStart"/>
            <w:r w:rsidRPr="00B023AA">
              <w:t>provider_id</w:t>
            </w:r>
            <w:proofErr w:type="spellEnd"/>
            <w:r w:rsidRPr="00B023AA">
              <w:t xml:space="preserve">, </w:t>
            </w:r>
            <w:proofErr w:type="spellStart"/>
            <w:r w:rsidRPr="00B023AA">
              <w:t>ics_file</w:t>
            </w:r>
            <w:proofErr w:type="spellEnd"/>
            <w:r w:rsidRPr="00B023AA">
              <w:t xml:space="preserve">, </w:t>
            </w:r>
            <w:proofErr w:type="spellStart"/>
            <w:r w:rsidRPr="00B023AA">
              <w:t>busy_only</w:t>
            </w:r>
            <w:proofErr w:type="spellEnd"/>
            <w:r w:rsidRPr="00B023AA">
              <w:t xml:space="preserve">, </w:t>
            </w:r>
            <w:proofErr w:type="spellStart"/>
            <w:r w:rsidRPr="00B023AA">
              <w:t>delete_future_blocks</w:t>
            </w:r>
            <w:proofErr w:type="spellEnd"/>
            <w:r w:rsidRPr="00B023AA">
              <w:t xml:space="preserve">, </w:t>
            </w:r>
            <w:proofErr w:type="spellStart"/>
            <w:r w:rsidRPr="00B023AA">
              <w:t>days_out</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5AECE9CD" w14:textId="77777777" w:rsidR="00B023AA" w:rsidRPr="00B023AA" w:rsidRDefault="00B023AA" w:rsidP="00B023AA">
            <w:proofErr w:type="gramStart"/>
            <w:r w:rsidRPr="00B023AA">
              <w:t>{ success</w:t>
            </w:r>
            <w:proofErr w:type="gramEnd"/>
            <w:r w:rsidRPr="00B023AA">
              <w:t>: true, stats: {...} }</w:t>
            </w:r>
          </w:p>
        </w:tc>
      </w:tr>
      <w:tr w:rsidR="00B023AA" w:rsidRPr="00B023AA" w14:paraId="49C9C90F" w14:textId="77777777" w:rsidTr="00B023AA">
        <w:tc>
          <w:tcPr>
            <w:tcW w:w="1728" w:type="dxa"/>
            <w:tcBorders>
              <w:top w:val="single" w:sz="4" w:space="0" w:color="auto"/>
              <w:left w:val="single" w:sz="4" w:space="0" w:color="auto"/>
              <w:bottom w:val="single" w:sz="4" w:space="0" w:color="auto"/>
              <w:right w:val="single" w:sz="4" w:space="0" w:color="auto"/>
            </w:tcBorders>
            <w:hideMark/>
          </w:tcPr>
          <w:p w14:paraId="14338EA7" w14:textId="77777777" w:rsidR="00B023AA" w:rsidRPr="00B023AA" w:rsidRDefault="00B023AA" w:rsidP="00B023AA">
            <w:r w:rsidRPr="00B023AA">
              <w:t>/</w:t>
            </w:r>
            <w:proofErr w:type="spellStart"/>
            <w:r w:rsidRPr="00B023AA">
              <w:t>aicsb</w:t>
            </w:r>
            <w:proofErr w:type="spellEnd"/>
            <w:r w:rsidRPr="00B023AA">
              <w:t>/v1/upload</w:t>
            </w:r>
          </w:p>
        </w:tc>
        <w:tc>
          <w:tcPr>
            <w:tcW w:w="1728" w:type="dxa"/>
            <w:tcBorders>
              <w:top w:val="single" w:sz="4" w:space="0" w:color="auto"/>
              <w:left w:val="single" w:sz="4" w:space="0" w:color="auto"/>
              <w:bottom w:val="single" w:sz="4" w:space="0" w:color="auto"/>
              <w:right w:val="single" w:sz="4" w:space="0" w:color="auto"/>
            </w:tcBorders>
            <w:hideMark/>
          </w:tcPr>
          <w:p w14:paraId="18F452D8" w14:textId="77777777" w:rsidR="00B023AA" w:rsidRPr="00B023AA" w:rsidRDefault="00B023AA" w:rsidP="00B023AA">
            <w:r w:rsidRPr="00B023AA">
              <w:t>POST</w:t>
            </w:r>
          </w:p>
        </w:tc>
        <w:tc>
          <w:tcPr>
            <w:tcW w:w="1728" w:type="dxa"/>
            <w:tcBorders>
              <w:top w:val="single" w:sz="4" w:space="0" w:color="auto"/>
              <w:left w:val="single" w:sz="4" w:space="0" w:color="auto"/>
              <w:bottom w:val="single" w:sz="4" w:space="0" w:color="auto"/>
              <w:right w:val="single" w:sz="4" w:space="0" w:color="auto"/>
            </w:tcBorders>
            <w:hideMark/>
          </w:tcPr>
          <w:p w14:paraId="701AE874" w14:textId="77777777" w:rsidR="00B023AA" w:rsidRPr="00B023AA" w:rsidRDefault="00B023AA" w:rsidP="00B023AA">
            <w:r w:rsidRPr="00B023AA">
              <w:t>Uploads ICS file to server.</w:t>
            </w:r>
          </w:p>
        </w:tc>
        <w:tc>
          <w:tcPr>
            <w:tcW w:w="1728" w:type="dxa"/>
            <w:tcBorders>
              <w:top w:val="single" w:sz="4" w:space="0" w:color="auto"/>
              <w:left w:val="single" w:sz="4" w:space="0" w:color="auto"/>
              <w:bottom w:val="single" w:sz="4" w:space="0" w:color="auto"/>
              <w:right w:val="single" w:sz="4" w:space="0" w:color="auto"/>
            </w:tcBorders>
            <w:hideMark/>
          </w:tcPr>
          <w:p w14:paraId="5354AEFD" w14:textId="77777777" w:rsidR="00B023AA" w:rsidRPr="00B023AA" w:rsidRDefault="00B023AA" w:rsidP="00B023AA">
            <w:proofErr w:type="spellStart"/>
            <w:r w:rsidRPr="00B023AA">
              <w:t>ics_file</w:t>
            </w:r>
            <w:proofErr w:type="spellEnd"/>
            <w:r w:rsidRPr="00B023AA">
              <w:t xml:space="preserve"> (file)</w:t>
            </w:r>
          </w:p>
        </w:tc>
        <w:tc>
          <w:tcPr>
            <w:tcW w:w="1728" w:type="dxa"/>
            <w:tcBorders>
              <w:top w:val="single" w:sz="4" w:space="0" w:color="auto"/>
              <w:left w:val="single" w:sz="4" w:space="0" w:color="auto"/>
              <w:bottom w:val="single" w:sz="4" w:space="0" w:color="auto"/>
              <w:right w:val="single" w:sz="4" w:space="0" w:color="auto"/>
            </w:tcBorders>
            <w:hideMark/>
          </w:tcPr>
          <w:p w14:paraId="72C9FBB2" w14:textId="77777777" w:rsidR="00B023AA" w:rsidRPr="00B023AA" w:rsidRDefault="00B023AA" w:rsidP="00B023AA">
            <w:proofErr w:type="gramStart"/>
            <w:r w:rsidRPr="00B023AA">
              <w:t xml:space="preserve">{ </w:t>
            </w:r>
            <w:proofErr w:type="spellStart"/>
            <w:r w:rsidRPr="00B023AA">
              <w:t>file</w:t>
            </w:r>
            <w:proofErr w:type="gramEnd"/>
            <w:r w:rsidRPr="00B023AA">
              <w:t>_name</w:t>
            </w:r>
            <w:proofErr w:type="spellEnd"/>
            <w:r w:rsidRPr="00B023AA">
              <w:t>: "...</w:t>
            </w:r>
            <w:proofErr w:type="spellStart"/>
            <w:r w:rsidRPr="00B023AA">
              <w:t>ics</w:t>
            </w:r>
            <w:proofErr w:type="spellEnd"/>
            <w:r w:rsidRPr="00B023AA">
              <w:t>", success: true }</w:t>
            </w:r>
          </w:p>
        </w:tc>
      </w:tr>
      <w:tr w:rsidR="00B023AA" w:rsidRPr="00B023AA" w14:paraId="582B7A28" w14:textId="77777777" w:rsidTr="00B023AA">
        <w:tc>
          <w:tcPr>
            <w:tcW w:w="1728" w:type="dxa"/>
            <w:tcBorders>
              <w:top w:val="single" w:sz="4" w:space="0" w:color="auto"/>
              <w:left w:val="single" w:sz="4" w:space="0" w:color="auto"/>
              <w:bottom w:val="single" w:sz="4" w:space="0" w:color="auto"/>
              <w:right w:val="single" w:sz="4" w:space="0" w:color="auto"/>
            </w:tcBorders>
            <w:hideMark/>
          </w:tcPr>
          <w:p w14:paraId="5D3325C8" w14:textId="77777777" w:rsidR="00B023AA" w:rsidRPr="00B023AA" w:rsidRDefault="00B023AA" w:rsidP="00B023AA">
            <w:r w:rsidRPr="00B023AA">
              <w:t>/</w:t>
            </w:r>
            <w:proofErr w:type="spellStart"/>
            <w:r w:rsidRPr="00B023AA">
              <w:t>aicsb</w:t>
            </w:r>
            <w:proofErr w:type="spellEnd"/>
            <w:r w:rsidRPr="00B023AA">
              <w:t>/v1/validate</w:t>
            </w:r>
          </w:p>
        </w:tc>
        <w:tc>
          <w:tcPr>
            <w:tcW w:w="1728" w:type="dxa"/>
            <w:tcBorders>
              <w:top w:val="single" w:sz="4" w:space="0" w:color="auto"/>
              <w:left w:val="single" w:sz="4" w:space="0" w:color="auto"/>
              <w:bottom w:val="single" w:sz="4" w:space="0" w:color="auto"/>
              <w:right w:val="single" w:sz="4" w:space="0" w:color="auto"/>
            </w:tcBorders>
            <w:hideMark/>
          </w:tcPr>
          <w:p w14:paraId="0E3D41A0" w14:textId="77777777" w:rsidR="00B023AA" w:rsidRPr="00B023AA" w:rsidRDefault="00B023AA" w:rsidP="00B023AA">
            <w:r w:rsidRPr="00B023AA">
              <w:t>POST</w:t>
            </w:r>
          </w:p>
        </w:tc>
        <w:tc>
          <w:tcPr>
            <w:tcW w:w="1728" w:type="dxa"/>
            <w:tcBorders>
              <w:top w:val="single" w:sz="4" w:space="0" w:color="auto"/>
              <w:left w:val="single" w:sz="4" w:space="0" w:color="auto"/>
              <w:bottom w:val="single" w:sz="4" w:space="0" w:color="auto"/>
              <w:right w:val="single" w:sz="4" w:space="0" w:color="auto"/>
            </w:tcBorders>
            <w:hideMark/>
          </w:tcPr>
          <w:p w14:paraId="5F0B540A" w14:textId="77777777" w:rsidR="00B023AA" w:rsidRPr="00B023AA" w:rsidRDefault="00B023AA" w:rsidP="00B023AA">
            <w:r w:rsidRPr="00B023AA">
              <w:t>Parses and validates ICS file.</w:t>
            </w:r>
          </w:p>
        </w:tc>
        <w:tc>
          <w:tcPr>
            <w:tcW w:w="1728" w:type="dxa"/>
            <w:tcBorders>
              <w:top w:val="single" w:sz="4" w:space="0" w:color="auto"/>
              <w:left w:val="single" w:sz="4" w:space="0" w:color="auto"/>
              <w:bottom w:val="single" w:sz="4" w:space="0" w:color="auto"/>
              <w:right w:val="single" w:sz="4" w:space="0" w:color="auto"/>
            </w:tcBorders>
            <w:hideMark/>
          </w:tcPr>
          <w:p w14:paraId="50A3F752" w14:textId="77777777" w:rsidR="00B023AA" w:rsidRPr="00B023AA" w:rsidRDefault="00B023AA" w:rsidP="00B023AA">
            <w:proofErr w:type="spellStart"/>
            <w:r w:rsidRPr="00B023AA">
              <w:t>provider_id</w:t>
            </w:r>
            <w:proofErr w:type="spellEnd"/>
            <w:r w:rsidRPr="00B023AA">
              <w:t xml:space="preserve">, </w:t>
            </w:r>
            <w:proofErr w:type="spellStart"/>
            <w:r w:rsidRPr="00B023AA">
              <w:t>ics_file</w:t>
            </w:r>
            <w:proofErr w:type="spellEnd"/>
            <w:r w:rsidRPr="00B023AA">
              <w:t xml:space="preserve">, </w:t>
            </w:r>
            <w:proofErr w:type="spellStart"/>
            <w:r w:rsidRPr="00B023AA">
              <w:t>busy_only</w:t>
            </w:r>
            <w:proofErr w:type="spellEnd"/>
            <w:r w:rsidRPr="00B023AA">
              <w:t xml:space="preserve">, </w:t>
            </w:r>
            <w:proofErr w:type="spellStart"/>
            <w:r w:rsidRPr="00B023AA">
              <w:t>days_out</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3D53F003" w14:textId="77777777" w:rsidR="00B023AA" w:rsidRPr="00B023AA" w:rsidRDefault="00B023AA" w:rsidP="00B023AA">
            <w:proofErr w:type="gramStart"/>
            <w:r w:rsidRPr="00B023AA">
              <w:t>{ success</w:t>
            </w:r>
            <w:proofErr w:type="gramEnd"/>
            <w:r w:rsidRPr="00B023AA">
              <w:t xml:space="preserve">: true, </w:t>
            </w:r>
            <w:proofErr w:type="spellStart"/>
            <w:r w:rsidRPr="00B023AA">
              <w:t>total_events</w:t>
            </w:r>
            <w:proofErr w:type="spellEnd"/>
            <w:r w:rsidRPr="00B023AA">
              <w:t xml:space="preserve">, </w:t>
            </w:r>
            <w:proofErr w:type="spellStart"/>
            <w:r w:rsidRPr="00B023AA">
              <w:t>busy_events</w:t>
            </w:r>
            <w:proofErr w:type="spellEnd"/>
            <w:r w:rsidRPr="00B023AA">
              <w:t>, warnings }</w:t>
            </w:r>
          </w:p>
        </w:tc>
      </w:tr>
      <w:tr w:rsidR="00B023AA" w:rsidRPr="00B023AA" w14:paraId="6339D5C5" w14:textId="77777777" w:rsidTr="00B023AA">
        <w:tc>
          <w:tcPr>
            <w:tcW w:w="1728" w:type="dxa"/>
            <w:tcBorders>
              <w:top w:val="single" w:sz="4" w:space="0" w:color="auto"/>
              <w:left w:val="single" w:sz="4" w:space="0" w:color="auto"/>
              <w:bottom w:val="single" w:sz="4" w:space="0" w:color="auto"/>
              <w:right w:val="single" w:sz="4" w:space="0" w:color="auto"/>
            </w:tcBorders>
            <w:hideMark/>
          </w:tcPr>
          <w:p w14:paraId="16FA2CEC" w14:textId="77777777" w:rsidR="00B023AA" w:rsidRPr="00B023AA" w:rsidRDefault="00B023AA" w:rsidP="00B023AA">
            <w:r w:rsidRPr="00B023AA">
              <w:t>/</w:t>
            </w:r>
            <w:proofErr w:type="spellStart"/>
            <w:r w:rsidRPr="00B023AA">
              <w:t>aicsb</w:t>
            </w:r>
            <w:proofErr w:type="spellEnd"/>
            <w:r w:rsidRPr="00B023AA">
              <w:t>/v1/clear-future-blocks</w:t>
            </w:r>
          </w:p>
        </w:tc>
        <w:tc>
          <w:tcPr>
            <w:tcW w:w="1728" w:type="dxa"/>
            <w:tcBorders>
              <w:top w:val="single" w:sz="4" w:space="0" w:color="auto"/>
              <w:left w:val="single" w:sz="4" w:space="0" w:color="auto"/>
              <w:bottom w:val="single" w:sz="4" w:space="0" w:color="auto"/>
              <w:right w:val="single" w:sz="4" w:space="0" w:color="auto"/>
            </w:tcBorders>
            <w:hideMark/>
          </w:tcPr>
          <w:p w14:paraId="169A0BCA" w14:textId="77777777" w:rsidR="00B023AA" w:rsidRPr="00B023AA" w:rsidRDefault="00B023AA" w:rsidP="00B023AA">
            <w:r w:rsidRPr="00B023AA">
              <w:t>POST</w:t>
            </w:r>
          </w:p>
        </w:tc>
        <w:tc>
          <w:tcPr>
            <w:tcW w:w="1728" w:type="dxa"/>
            <w:tcBorders>
              <w:top w:val="single" w:sz="4" w:space="0" w:color="auto"/>
              <w:left w:val="single" w:sz="4" w:space="0" w:color="auto"/>
              <w:bottom w:val="single" w:sz="4" w:space="0" w:color="auto"/>
              <w:right w:val="single" w:sz="4" w:space="0" w:color="auto"/>
            </w:tcBorders>
            <w:hideMark/>
          </w:tcPr>
          <w:p w14:paraId="2EC304BF" w14:textId="77777777" w:rsidR="00B023AA" w:rsidRPr="00B023AA" w:rsidRDefault="00B023AA" w:rsidP="00B023AA">
            <w:r w:rsidRPr="00B023AA">
              <w:t>Deletes future plugin-created appointments.</w:t>
            </w:r>
          </w:p>
        </w:tc>
        <w:tc>
          <w:tcPr>
            <w:tcW w:w="1728" w:type="dxa"/>
            <w:tcBorders>
              <w:top w:val="single" w:sz="4" w:space="0" w:color="auto"/>
              <w:left w:val="single" w:sz="4" w:space="0" w:color="auto"/>
              <w:bottom w:val="single" w:sz="4" w:space="0" w:color="auto"/>
              <w:right w:val="single" w:sz="4" w:space="0" w:color="auto"/>
            </w:tcBorders>
            <w:hideMark/>
          </w:tcPr>
          <w:p w14:paraId="0A99EE5A" w14:textId="77777777" w:rsidR="00B023AA" w:rsidRPr="00B023AA" w:rsidRDefault="00B023AA" w:rsidP="00B023AA">
            <w:proofErr w:type="spellStart"/>
            <w:r w:rsidRPr="00B023AA">
              <w:t>provider_id</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4E59B9CD" w14:textId="77777777" w:rsidR="00B023AA" w:rsidRPr="00B023AA" w:rsidRDefault="00B023AA" w:rsidP="00B023AA">
            <w:proofErr w:type="gramStart"/>
            <w:r w:rsidRPr="00B023AA">
              <w:t>{ success</w:t>
            </w:r>
            <w:proofErr w:type="gramEnd"/>
            <w:r w:rsidRPr="00B023AA">
              <w:t>: true, deleted: n }</w:t>
            </w:r>
          </w:p>
        </w:tc>
      </w:tr>
      <w:tr w:rsidR="00B023AA" w:rsidRPr="00B023AA" w14:paraId="659D5CF1" w14:textId="77777777" w:rsidTr="00B023AA">
        <w:tc>
          <w:tcPr>
            <w:tcW w:w="1728" w:type="dxa"/>
            <w:tcBorders>
              <w:top w:val="single" w:sz="4" w:space="0" w:color="auto"/>
              <w:left w:val="single" w:sz="4" w:space="0" w:color="auto"/>
              <w:bottom w:val="single" w:sz="4" w:space="0" w:color="auto"/>
              <w:right w:val="single" w:sz="4" w:space="0" w:color="auto"/>
            </w:tcBorders>
            <w:hideMark/>
          </w:tcPr>
          <w:p w14:paraId="3CCAE0C6" w14:textId="77777777" w:rsidR="00B023AA" w:rsidRPr="00B023AA" w:rsidRDefault="00B023AA" w:rsidP="00B023AA">
            <w:r w:rsidRPr="00B023AA">
              <w:t>/</w:t>
            </w:r>
            <w:proofErr w:type="spellStart"/>
            <w:r w:rsidRPr="00B023AA">
              <w:t>aicsb</w:t>
            </w:r>
            <w:proofErr w:type="spellEnd"/>
            <w:r w:rsidRPr="00B023AA">
              <w:t>/v1/revert-settings</w:t>
            </w:r>
          </w:p>
        </w:tc>
        <w:tc>
          <w:tcPr>
            <w:tcW w:w="1728" w:type="dxa"/>
            <w:tcBorders>
              <w:top w:val="single" w:sz="4" w:space="0" w:color="auto"/>
              <w:left w:val="single" w:sz="4" w:space="0" w:color="auto"/>
              <w:bottom w:val="single" w:sz="4" w:space="0" w:color="auto"/>
              <w:right w:val="single" w:sz="4" w:space="0" w:color="auto"/>
            </w:tcBorders>
            <w:hideMark/>
          </w:tcPr>
          <w:p w14:paraId="4E1DEF95" w14:textId="77777777" w:rsidR="00B023AA" w:rsidRPr="00B023AA" w:rsidRDefault="00B023AA" w:rsidP="00B023AA">
            <w:r w:rsidRPr="00B023AA">
              <w:t>POST</w:t>
            </w:r>
          </w:p>
        </w:tc>
        <w:tc>
          <w:tcPr>
            <w:tcW w:w="1728" w:type="dxa"/>
            <w:tcBorders>
              <w:top w:val="single" w:sz="4" w:space="0" w:color="auto"/>
              <w:left w:val="single" w:sz="4" w:space="0" w:color="auto"/>
              <w:bottom w:val="single" w:sz="4" w:space="0" w:color="auto"/>
              <w:right w:val="single" w:sz="4" w:space="0" w:color="auto"/>
            </w:tcBorders>
            <w:hideMark/>
          </w:tcPr>
          <w:p w14:paraId="6D7D174B" w14:textId="77777777" w:rsidR="00B023AA" w:rsidRPr="00B023AA" w:rsidRDefault="00B023AA" w:rsidP="00B023AA">
            <w:r w:rsidRPr="00B023AA">
              <w:t>Restores the last saved provider settings.</w:t>
            </w:r>
          </w:p>
        </w:tc>
        <w:tc>
          <w:tcPr>
            <w:tcW w:w="1728" w:type="dxa"/>
            <w:tcBorders>
              <w:top w:val="single" w:sz="4" w:space="0" w:color="auto"/>
              <w:left w:val="single" w:sz="4" w:space="0" w:color="auto"/>
              <w:bottom w:val="single" w:sz="4" w:space="0" w:color="auto"/>
              <w:right w:val="single" w:sz="4" w:space="0" w:color="auto"/>
            </w:tcBorders>
            <w:hideMark/>
          </w:tcPr>
          <w:p w14:paraId="72F39539" w14:textId="77777777" w:rsidR="00B023AA" w:rsidRPr="00B023AA" w:rsidRDefault="00B023AA" w:rsidP="00B023AA">
            <w:proofErr w:type="spellStart"/>
            <w:r w:rsidRPr="00B023AA">
              <w:t>provider_id</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05B0AB04" w14:textId="77777777" w:rsidR="00B023AA" w:rsidRPr="00B023AA" w:rsidRDefault="00B023AA" w:rsidP="00B023AA">
            <w:proofErr w:type="gramStart"/>
            <w:r w:rsidRPr="00B023AA">
              <w:t>{ success</w:t>
            </w:r>
            <w:proofErr w:type="gramEnd"/>
            <w:r w:rsidRPr="00B023AA">
              <w:t>: true, settings: {...} }</w:t>
            </w:r>
          </w:p>
        </w:tc>
      </w:tr>
      <w:tr w:rsidR="00B023AA" w:rsidRPr="00B023AA" w14:paraId="1253D399" w14:textId="77777777" w:rsidTr="00B023AA">
        <w:tc>
          <w:tcPr>
            <w:tcW w:w="1728" w:type="dxa"/>
            <w:tcBorders>
              <w:top w:val="single" w:sz="4" w:space="0" w:color="auto"/>
              <w:left w:val="single" w:sz="4" w:space="0" w:color="auto"/>
              <w:bottom w:val="single" w:sz="4" w:space="0" w:color="auto"/>
              <w:right w:val="single" w:sz="4" w:space="0" w:color="auto"/>
            </w:tcBorders>
            <w:hideMark/>
          </w:tcPr>
          <w:p w14:paraId="610374FF" w14:textId="77777777" w:rsidR="00B023AA" w:rsidRPr="00B023AA" w:rsidRDefault="00B023AA" w:rsidP="00B023AA">
            <w:r w:rsidRPr="00B023AA">
              <w:t>/</w:t>
            </w:r>
            <w:proofErr w:type="spellStart"/>
            <w:r w:rsidRPr="00B023AA">
              <w:t>aicsb</w:t>
            </w:r>
            <w:proofErr w:type="spellEnd"/>
            <w:r w:rsidRPr="00B023AA">
              <w:t>/v1/fetch-settings</w:t>
            </w:r>
          </w:p>
        </w:tc>
        <w:tc>
          <w:tcPr>
            <w:tcW w:w="1728" w:type="dxa"/>
            <w:tcBorders>
              <w:top w:val="single" w:sz="4" w:space="0" w:color="auto"/>
              <w:left w:val="single" w:sz="4" w:space="0" w:color="auto"/>
              <w:bottom w:val="single" w:sz="4" w:space="0" w:color="auto"/>
              <w:right w:val="single" w:sz="4" w:space="0" w:color="auto"/>
            </w:tcBorders>
            <w:hideMark/>
          </w:tcPr>
          <w:p w14:paraId="5CAC469B" w14:textId="77777777" w:rsidR="00B023AA" w:rsidRPr="00B023AA" w:rsidRDefault="00B023AA" w:rsidP="00B023AA">
            <w:r w:rsidRPr="00B023AA">
              <w:t>POST</w:t>
            </w:r>
          </w:p>
        </w:tc>
        <w:tc>
          <w:tcPr>
            <w:tcW w:w="1728" w:type="dxa"/>
            <w:tcBorders>
              <w:top w:val="single" w:sz="4" w:space="0" w:color="auto"/>
              <w:left w:val="single" w:sz="4" w:space="0" w:color="auto"/>
              <w:bottom w:val="single" w:sz="4" w:space="0" w:color="auto"/>
              <w:right w:val="single" w:sz="4" w:space="0" w:color="auto"/>
            </w:tcBorders>
            <w:hideMark/>
          </w:tcPr>
          <w:p w14:paraId="581D9EB2" w14:textId="77777777" w:rsidR="00B023AA" w:rsidRPr="00B023AA" w:rsidRDefault="00B023AA" w:rsidP="00B023AA">
            <w:r w:rsidRPr="00B023AA">
              <w:t>Fetches current provider settings.</w:t>
            </w:r>
          </w:p>
        </w:tc>
        <w:tc>
          <w:tcPr>
            <w:tcW w:w="1728" w:type="dxa"/>
            <w:tcBorders>
              <w:top w:val="single" w:sz="4" w:space="0" w:color="auto"/>
              <w:left w:val="single" w:sz="4" w:space="0" w:color="auto"/>
              <w:bottom w:val="single" w:sz="4" w:space="0" w:color="auto"/>
              <w:right w:val="single" w:sz="4" w:space="0" w:color="auto"/>
            </w:tcBorders>
            <w:hideMark/>
          </w:tcPr>
          <w:p w14:paraId="035DEC35" w14:textId="77777777" w:rsidR="00B023AA" w:rsidRPr="00B023AA" w:rsidRDefault="00B023AA" w:rsidP="00B023AA">
            <w:proofErr w:type="spellStart"/>
            <w:r w:rsidRPr="00B023AA">
              <w:t>provider_id</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453B630D" w14:textId="77777777" w:rsidR="00B023AA" w:rsidRPr="00B023AA" w:rsidRDefault="00B023AA" w:rsidP="00B023AA">
            <w:proofErr w:type="gramStart"/>
            <w:r w:rsidRPr="00B023AA">
              <w:t>{ success</w:t>
            </w:r>
            <w:proofErr w:type="gramEnd"/>
            <w:r w:rsidRPr="00B023AA">
              <w:t>: true, settings: {...} }</w:t>
            </w:r>
          </w:p>
        </w:tc>
      </w:tr>
      <w:tr w:rsidR="00B023AA" w:rsidRPr="00B023AA" w14:paraId="1E9B9625" w14:textId="77777777" w:rsidTr="00B023AA">
        <w:tc>
          <w:tcPr>
            <w:tcW w:w="1728" w:type="dxa"/>
            <w:tcBorders>
              <w:top w:val="single" w:sz="4" w:space="0" w:color="auto"/>
              <w:left w:val="single" w:sz="4" w:space="0" w:color="auto"/>
              <w:bottom w:val="single" w:sz="4" w:space="0" w:color="auto"/>
              <w:right w:val="single" w:sz="4" w:space="0" w:color="auto"/>
            </w:tcBorders>
            <w:hideMark/>
          </w:tcPr>
          <w:p w14:paraId="34E9614F" w14:textId="77777777" w:rsidR="00B023AA" w:rsidRPr="00B023AA" w:rsidRDefault="00B023AA" w:rsidP="00B023AA">
            <w:r w:rsidRPr="00B023AA">
              <w:t>/</w:t>
            </w:r>
            <w:proofErr w:type="spellStart"/>
            <w:r w:rsidRPr="00B023AA">
              <w:t>aicsb</w:t>
            </w:r>
            <w:proofErr w:type="spellEnd"/>
            <w:r w:rsidRPr="00B023AA">
              <w:t>/v1/ensure-defaults</w:t>
            </w:r>
          </w:p>
        </w:tc>
        <w:tc>
          <w:tcPr>
            <w:tcW w:w="1728" w:type="dxa"/>
            <w:tcBorders>
              <w:top w:val="single" w:sz="4" w:space="0" w:color="auto"/>
              <w:left w:val="single" w:sz="4" w:space="0" w:color="auto"/>
              <w:bottom w:val="single" w:sz="4" w:space="0" w:color="auto"/>
              <w:right w:val="single" w:sz="4" w:space="0" w:color="auto"/>
            </w:tcBorders>
            <w:hideMark/>
          </w:tcPr>
          <w:p w14:paraId="7846ED89" w14:textId="77777777" w:rsidR="00B023AA" w:rsidRPr="00B023AA" w:rsidRDefault="00B023AA" w:rsidP="00B023AA">
            <w:r w:rsidRPr="00B023AA">
              <w:t>POST</w:t>
            </w:r>
          </w:p>
        </w:tc>
        <w:tc>
          <w:tcPr>
            <w:tcW w:w="1728" w:type="dxa"/>
            <w:tcBorders>
              <w:top w:val="single" w:sz="4" w:space="0" w:color="auto"/>
              <w:left w:val="single" w:sz="4" w:space="0" w:color="auto"/>
              <w:bottom w:val="single" w:sz="4" w:space="0" w:color="auto"/>
              <w:right w:val="single" w:sz="4" w:space="0" w:color="auto"/>
            </w:tcBorders>
            <w:hideMark/>
          </w:tcPr>
          <w:p w14:paraId="541398CE" w14:textId="77777777" w:rsidR="00B023AA" w:rsidRPr="00B023AA" w:rsidRDefault="00B023AA" w:rsidP="00B023AA">
            <w:r w:rsidRPr="00B023AA">
              <w:t>Ensures blocking entities exist for provider.</w:t>
            </w:r>
          </w:p>
        </w:tc>
        <w:tc>
          <w:tcPr>
            <w:tcW w:w="1728" w:type="dxa"/>
            <w:tcBorders>
              <w:top w:val="single" w:sz="4" w:space="0" w:color="auto"/>
              <w:left w:val="single" w:sz="4" w:space="0" w:color="auto"/>
              <w:bottom w:val="single" w:sz="4" w:space="0" w:color="auto"/>
              <w:right w:val="single" w:sz="4" w:space="0" w:color="auto"/>
            </w:tcBorders>
            <w:hideMark/>
          </w:tcPr>
          <w:p w14:paraId="0ED9F061" w14:textId="77777777" w:rsidR="00B023AA" w:rsidRPr="00B023AA" w:rsidRDefault="00B023AA" w:rsidP="00B023AA">
            <w:proofErr w:type="spellStart"/>
            <w:r w:rsidRPr="00B023AA">
              <w:t>provider_id</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59E76F09" w14:textId="77777777" w:rsidR="00B023AA" w:rsidRPr="00B023AA" w:rsidRDefault="00B023AA" w:rsidP="00B023AA">
            <w:proofErr w:type="gramStart"/>
            <w:r w:rsidRPr="00B023AA">
              <w:t>{ success</w:t>
            </w:r>
            <w:proofErr w:type="gramEnd"/>
            <w:r w:rsidRPr="00B023AA">
              <w:t>: true }</w:t>
            </w:r>
          </w:p>
        </w:tc>
      </w:tr>
      <w:tr w:rsidR="00B023AA" w:rsidRPr="00B023AA" w14:paraId="426B55D1" w14:textId="77777777" w:rsidTr="00B023AA">
        <w:tc>
          <w:tcPr>
            <w:tcW w:w="1728" w:type="dxa"/>
            <w:tcBorders>
              <w:top w:val="single" w:sz="4" w:space="0" w:color="auto"/>
              <w:left w:val="single" w:sz="4" w:space="0" w:color="auto"/>
              <w:bottom w:val="single" w:sz="4" w:space="0" w:color="auto"/>
              <w:right w:val="single" w:sz="4" w:space="0" w:color="auto"/>
            </w:tcBorders>
            <w:hideMark/>
          </w:tcPr>
          <w:p w14:paraId="51DBD62B" w14:textId="77777777" w:rsidR="00B023AA" w:rsidRPr="00B023AA" w:rsidRDefault="00B023AA" w:rsidP="00B023AA">
            <w:r w:rsidRPr="00B023AA">
              <w:t>/</w:t>
            </w:r>
            <w:proofErr w:type="spellStart"/>
            <w:r w:rsidRPr="00B023AA">
              <w:t>aicsb</w:t>
            </w:r>
            <w:proofErr w:type="spellEnd"/>
            <w:r w:rsidRPr="00B023AA">
              <w:t>/v1/upload-and-process</w:t>
            </w:r>
          </w:p>
        </w:tc>
        <w:tc>
          <w:tcPr>
            <w:tcW w:w="1728" w:type="dxa"/>
            <w:tcBorders>
              <w:top w:val="single" w:sz="4" w:space="0" w:color="auto"/>
              <w:left w:val="single" w:sz="4" w:space="0" w:color="auto"/>
              <w:bottom w:val="single" w:sz="4" w:space="0" w:color="auto"/>
              <w:right w:val="single" w:sz="4" w:space="0" w:color="auto"/>
            </w:tcBorders>
            <w:hideMark/>
          </w:tcPr>
          <w:p w14:paraId="79B40975" w14:textId="77777777" w:rsidR="00B023AA" w:rsidRPr="00B023AA" w:rsidRDefault="00B023AA" w:rsidP="00B023AA">
            <w:r w:rsidRPr="00B023AA">
              <w:t>POST</w:t>
            </w:r>
          </w:p>
        </w:tc>
        <w:tc>
          <w:tcPr>
            <w:tcW w:w="1728" w:type="dxa"/>
            <w:tcBorders>
              <w:top w:val="single" w:sz="4" w:space="0" w:color="auto"/>
              <w:left w:val="single" w:sz="4" w:space="0" w:color="auto"/>
              <w:bottom w:val="single" w:sz="4" w:space="0" w:color="auto"/>
              <w:right w:val="single" w:sz="4" w:space="0" w:color="auto"/>
            </w:tcBorders>
            <w:hideMark/>
          </w:tcPr>
          <w:p w14:paraId="0ADBC58B" w14:textId="77777777" w:rsidR="00B023AA" w:rsidRPr="00B023AA" w:rsidRDefault="00B023AA" w:rsidP="00B023AA">
            <w:r w:rsidRPr="00B023AA">
              <w:t>Uploads and immediately processes ICS file.</w:t>
            </w:r>
          </w:p>
        </w:tc>
        <w:tc>
          <w:tcPr>
            <w:tcW w:w="1728" w:type="dxa"/>
            <w:tcBorders>
              <w:top w:val="single" w:sz="4" w:space="0" w:color="auto"/>
              <w:left w:val="single" w:sz="4" w:space="0" w:color="auto"/>
              <w:bottom w:val="single" w:sz="4" w:space="0" w:color="auto"/>
              <w:right w:val="single" w:sz="4" w:space="0" w:color="auto"/>
            </w:tcBorders>
            <w:hideMark/>
          </w:tcPr>
          <w:p w14:paraId="2C3618AC" w14:textId="77777777" w:rsidR="00B023AA" w:rsidRPr="00B023AA" w:rsidRDefault="00B023AA" w:rsidP="00B023AA">
            <w:r w:rsidRPr="00B023AA">
              <w:t>Same as upload + process</w:t>
            </w:r>
          </w:p>
        </w:tc>
        <w:tc>
          <w:tcPr>
            <w:tcW w:w="1728" w:type="dxa"/>
            <w:tcBorders>
              <w:top w:val="single" w:sz="4" w:space="0" w:color="auto"/>
              <w:left w:val="single" w:sz="4" w:space="0" w:color="auto"/>
              <w:bottom w:val="single" w:sz="4" w:space="0" w:color="auto"/>
              <w:right w:val="single" w:sz="4" w:space="0" w:color="auto"/>
            </w:tcBorders>
            <w:hideMark/>
          </w:tcPr>
          <w:p w14:paraId="325D5AA6" w14:textId="77777777" w:rsidR="00B023AA" w:rsidRPr="00B023AA" w:rsidRDefault="00B023AA" w:rsidP="00B023AA">
            <w:r w:rsidRPr="00B023AA">
              <w:t>Full process response</w:t>
            </w:r>
          </w:p>
        </w:tc>
      </w:tr>
    </w:tbl>
    <w:p w14:paraId="2AC7FFA7" w14:textId="77777777" w:rsidR="00B023AA" w:rsidRPr="00B023AA" w:rsidRDefault="00B023AA" w:rsidP="00B023AA">
      <w:pPr>
        <w:spacing w:after="200" w:line="276" w:lineRule="auto"/>
        <w:rPr>
          <w:rFonts w:ascii="Cambria" w:eastAsia="MS Mincho" w:hAnsi="Cambria" w:cs="Times New Roman"/>
          <w:kern w:val="0"/>
          <w14:ligatures w14:val="none"/>
        </w:rPr>
      </w:pPr>
    </w:p>
    <w:p w14:paraId="05B946A0" w14:textId="77777777" w:rsidR="00935F8F" w:rsidRPr="00B023AA" w:rsidRDefault="00935F8F" w:rsidP="00B023AA"/>
    <w:sectPr w:rsidR="00935F8F" w:rsidRPr="00B02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7346"/>
    <w:multiLevelType w:val="multilevel"/>
    <w:tmpl w:val="0AC2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9782B"/>
    <w:multiLevelType w:val="multilevel"/>
    <w:tmpl w:val="C920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84761"/>
    <w:multiLevelType w:val="multilevel"/>
    <w:tmpl w:val="0AE8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06268"/>
    <w:multiLevelType w:val="multilevel"/>
    <w:tmpl w:val="0E3A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C6212"/>
    <w:multiLevelType w:val="multilevel"/>
    <w:tmpl w:val="540E0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B1D8A"/>
    <w:multiLevelType w:val="multilevel"/>
    <w:tmpl w:val="F8D4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3C1FD0"/>
    <w:multiLevelType w:val="multilevel"/>
    <w:tmpl w:val="61CC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984D17"/>
    <w:multiLevelType w:val="multilevel"/>
    <w:tmpl w:val="84B69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C0EC1"/>
    <w:multiLevelType w:val="multilevel"/>
    <w:tmpl w:val="53EA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523D2"/>
    <w:multiLevelType w:val="multilevel"/>
    <w:tmpl w:val="C964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548BD"/>
    <w:multiLevelType w:val="multilevel"/>
    <w:tmpl w:val="828C9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554F6B"/>
    <w:multiLevelType w:val="multilevel"/>
    <w:tmpl w:val="1BF4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941C2"/>
    <w:multiLevelType w:val="multilevel"/>
    <w:tmpl w:val="F132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0B5BEF"/>
    <w:multiLevelType w:val="multilevel"/>
    <w:tmpl w:val="783E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37B12"/>
    <w:multiLevelType w:val="multilevel"/>
    <w:tmpl w:val="51AE0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D63B1"/>
    <w:multiLevelType w:val="multilevel"/>
    <w:tmpl w:val="84BEE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0A5438"/>
    <w:multiLevelType w:val="multilevel"/>
    <w:tmpl w:val="746A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C24C7"/>
    <w:multiLevelType w:val="multilevel"/>
    <w:tmpl w:val="427C0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BE01AF"/>
    <w:multiLevelType w:val="multilevel"/>
    <w:tmpl w:val="AA7AA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433096">
    <w:abstractNumId w:val="15"/>
  </w:num>
  <w:num w:numId="2" w16cid:durableId="1172060952">
    <w:abstractNumId w:val="16"/>
  </w:num>
  <w:num w:numId="3" w16cid:durableId="1754089210">
    <w:abstractNumId w:val="10"/>
  </w:num>
  <w:num w:numId="4" w16cid:durableId="1019114406">
    <w:abstractNumId w:val="2"/>
  </w:num>
  <w:num w:numId="5" w16cid:durableId="2143231931">
    <w:abstractNumId w:val="0"/>
  </w:num>
  <w:num w:numId="6" w16cid:durableId="1987661674">
    <w:abstractNumId w:val="17"/>
  </w:num>
  <w:num w:numId="7" w16cid:durableId="1395272802">
    <w:abstractNumId w:val="12"/>
  </w:num>
  <w:num w:numId="8" w16cid:durableId="2078748509">
    <w:abstractNumId w:val="14"/>
  </w:num>
  <w:num w:numId="9" w16cid:durableId="591550233">
    <w:abstractNumId w:val="3"/>
  </w:num>
  <w:num w:numId="10" w16cid:durableId="2090232714">
    <w:abstractNumId w:val="1"/>
  </w:num>
  <w:num w:numId="11" w16cid:durableId="161749696">
    <w:abstractNumId w:val="13"/>
  </w:num>
  <w:num w:numId="12" w16cid:durableId="729616656">
    <w:abstractNumId w:val="8"/>
  </w:num>
  <w:num w:numId="13" w16cid:durableId="820847826">
    <w:abstractNumId w:val="11"/>
  </w:num>
  <w:num w:numId="14" w16cid:durableId="2122264500">
    <w:abstractNumId w:val="5"/>
  </w:num>
  <w:num w:numId="15" w16cid:durableId="1651589956">
    <w:abstractNumId w:val="9"/>
  </w:num>
  <w:num w:numId="16" w16cid:durableId="583534083">
    <w:abstractNumId w:val="6"/>
  </w:num>
  <w:num w:numId="17" w16cid:durableId="1505319140">
    <w:abstractNumId w:val="7"/>
  </w:num>
  <w:num w:numId="18" w16cid:durableId="532573062">
    <w:abstractNumId w:val="18"/>
  </w:num>
  <w:num w:numId="19" w16cid:durableId="989872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43"/>
    <w:rsid w:val="000B0343"/>
    <w:rsid w:val="00574CC2"/>
    <w:rsid w:val="00793FAE"/>
    <w:rsid w:val="00935F8F"/>
    <w:rsid w:val="009F3501"/>
    <w:rsid w:val="009F512B"/>
    <w:rsid w:val="00B023AA"/>
    <w:rsid w:val="00B96161"/>
    <w:rsid w:val="00CF6BEF"/>
    <w:rsid w:val="00E5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912F"/>
  <w15:chartTrackingRefBased/>
  <w15:docId w15:val="{07B95E17-6235-491F-84D4-AB2B0DD6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343"/>
    <w:rPr>
      <w:color w:val="0563C1" w:themeColor="hyperlink"/>
      <w:u w:val="single"/>
    </w:rPr>
  </w:style>
  <w:style w:type="character" w:styleId="UnresolvedMention">
    <w:name w:val="Unresolved Mention"/>
    <w:basedOn w:val="DefaultParagraphFont"/>
    <w:uiPriority w:val="99"/>
    <w:semiHidden/>
    <w:unhideWhenUsed/>
    <w:rsid w:val="000B0343"/>
    <w:rPr>
      <w:color w:val="605E5C"/>
      <w:shd w:val="clear" w:color="auto" w:fill="E1DFDD"/>
    </w:rPr>
  </w:style>
  <w:style w:type="table" w:styleId="TableGrid">
    <w:name w:val="Table Grid"/>
    <w:basedOn w:val="TableNormal"/>
    <w:uiPriority w:val="59"/>
    <w:rsid w:val="00B023AA"/>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36301">
      <w:bodyDiv w:val="1"/>
      <w:marLeft w:val="0"/>
      <w:marRight w:val="0"/>
      <w:marTop w:val="0"/>
      <w:marBottom w:val="0"/>
      <w:divBdr>
        <w:top w:val="none" w:sz="0" w:space="0" w:color="auto"/>
        <w:left w:val="none" w:sz="0" w:space="0" w:color="auto"/>
        <w:bottom w:val="none" w:sz="0" w:space="0" w:color="auto"/>
        <w:right w:val="none" w:sz="0" w:space="0" w:color="auto"/>
      </w:divBdr>
      <w:divsChild>
        <w:div w:id="1127821829">
          <w:marLeft w:val="0"/>
          <w:marRight w:val="0"/>
          <w:marTop w:val="0"/>
          <w:marBottom w:val="0"/>
          <w:divBdr>
            <w:top w:val="none" w:sz="0" w:space="0" w:color="auto"/>
            <w:left w:val="none" w:sz="0" w:space="0" w:color="auto"/>
            <w:bottom w:val="none" w:sz="0" w:space="0" w:color="auto"/>
            <w:right w:val="none" w:sz="0" w:space="0" w:color="auto"/>
          </w:divBdr>
        </w:div>
      </w:divsChild>
    </w:div>
    <w:div w:id="473912041">
      <w:bodyDiv w:val="1"/>
      <w:marLeft w:val="0"/>
      <w:marRight w:val="0"/>
      <w:marTop w:val="0"/>
      <w:marBottom w:val="0"/>
      <w:divBdr>
        <w:top w:val="none" w:sz="0" w:space="0" w:color="auto"/>
        <w:left w:val="none" w:sz="0" w:space="0" w:color="auto"/>
        <w:bottom w:val="none" w:sz="0" w:space="0" w:color="auto"/>
        <w:right w:val="none" w:sz="0" w:space="0" w:color="auto"/>
      </w:divBdr>
      <w:divsChild>
        <w:div w:id="1738043274">
          <w:marLeft w:val="0"/>
          <w:marRight w:val="0"/>
          <w:marTop w:val="0"/>
          <w:marBottom w:val="0"/>
          <w:divBdr>
            <w:top w:val="none" w:sz="0" w:space="0" w:color="auto"/>
            <w:left w:val="none" w:sz="0" w:space="0" w:color="auto"/>
            <w:bottom w:val="none" w:sz="0" w:space="0" w:color="auto"/>
            <w:right w:val="none" w:sz="0" w:space="0" w:color="auto"/>
          </w:divBdr>
        </w:div>
      </w:divsChild>
    </w:div>
    <w:div w:id="626862237">
      <w:bodyDiv w:val="1"/>
      <w:marLeft w:val="0"/>
      <w:marRight w:val="0"/>
      <w:marTop w:val="0"/>
      <w:marBottom w:val="0"/>
      <w:divBdr>
        <w:top w:val="none" w:sz="0" w:space="0" w:color="auto"/>
        <w:left w:val="none" w:sz="0" w:space="0" w:color="auto"/>
        <w:bottom w:val="none" w:sz="0" w:space="0" w:color="auto"/>
        <w:right w:val="none" w:sz="0" w:space="0" w:color="auto"/>
      </w:divBdr>
    </w:div>
    <w:div w:id="889533238">
      <w:bodyDiv w:val="1"/>
      <w:marLeft w:val="0"/>
      <w:marRight w:val="0"/>
      <w:marTop w:val="0"/>
      <w:marBottom w:val="0"/>
      <w:divBdr>
        <w:top w:val="none" w:sz="0" w:space="0" w:color="auto"/>
        <w:left w:val="none" w:sz="0" w:space="0" w:color="auto"/>
        <w:bottom w:val="none" w:sz="0" w:space="0" w:color="auto"/>
        <w:right w:val="none" w:sz="0" w:space="0" w:color="auto"/>
      </w:divBdr>
    </w:div>
    <w:div w:id="18061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Mantos</dc:creator>
  <cp:keywords/>
  <dc:description/>
  <cp:lastModifiedBy>peter Mantos</cp:lastModifiedBy>
  <cp:revision>2</cp:revision>
  <dcterms:created xsi:type="dcterms:W3CDTF">2025-03-17T14:30:00Z</dcterms:created>
  <dcterms:modified xsi:type="dcterms:W3CDTF">2025-04-15T03:18:00Z</dcterms:modified>
</cp:coreProperties>
</file>